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69EC" w:rsidR="00A569EC" w:rsidP="00A569EC" w:rsidRDefault="004112CE" w14:paraId="064BD8A0" w14:textId="5FA40430">
      <w:pPr>
        <w:pStyle w:val="Corpotesto"/>
        <w:spacing w:before="68" w:line="283" w:lineRule="auto"/>
        <w:ind w:left="100"/>
        <w:rPr>
          <w:color w:val="FF0000"/>
        </w:rPr>
      </w:pP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CFU)</w:t>
      </w:r>
      <w:r>
        <w:rPr>
          <w:spacing w:val="-7"/>
        </w:rPr>
        <w:t xml:space="preserve"> </w:t>
      </w:r>
      <w:r w:rsidR="00E445CB">
        <w:rPr>
          <w:spacing w:val="-7"/>
        </w:rPr>
        <w:t>–</w:t>
      </w:r>
      <w:r w:rsidR="1418CAD4">
        <w:rPr>
          <w:spacing w:val="-7"/>
        </w:rPr>
        <w:t xml:space="preserve"> </w:t>
      </w:r>
      <w:r w:rsidR="00E445CB">
        <w:rPr>
          <w:color w:val="FF0000"/>
          <w:spacing w:val="-7"/>
        </w:rPr>
        <w:t>Intelligenza Artificiale</w:t>
      </w:r>
    </w:p>
    <w:p w:rsidR="00A569EC" w:rsidRDefault="00A569EC" w14:paraId="0106D82C" w14:textId="77777777">
      <w:pPr>
        <w:pStyle w:val="Corpotesto"/>
        <w:rPr>
          <w:rFonts w:ascii="Arial"/>
          <w:sz w:val="5"/>
        </w:rPr>
      </w:pPr>
    </w:p>
    <w:p w:rsidR="00A569EC" w:rsidRDefault="00A569EC" w14:paraId="53B2852D" w14:textId="77777777">
      <w:pPr>
        <w:pStyle w:val="Corpotesto"/>
        <w:rPr>
          <w:rFonts w:ascii="Arial"/>
          <w:sz w:val="5"/>
        </w:rPr>
      </w:pPr>
    </w:p>
    <w:p w:rsidR="00A569EC" w:rsidRDefault="00A569EC" w14:paraId="185165C9" w14:textId="77777777">
      <w:pPr>
        <w:pStyle w:val="Corpotesto"/>
        <w:rPr>
          <w:rFonts w:ascii="Arial"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:rsidTr="28AA2412" w14:paraId="5CABEFBD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3A1BD983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</w:p>
        </w:tc>
        <w:tc>
          <w:tcPr>
            <w:tcW w:w="9313" w:type="dxa"/>
            <w:tcMar/>
          </w:tcPr>
          <w:p w:rsidRPr="00D958AF" w:rsidR="00873866" w:rsidP="0F2561BC" w:rsidRDefault="00E445CB" w14:paraId="597445F0" w14:textId="4DA6671D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D958AF">
              <w:rPr>
                <w:rFonts w:asciiTheme="minorHAnsi" w:hAnsiTheme="minorHAnsi" w:eastAsiaTheme="minorEastAsia" w:cstheme="minorBidi"/>
                <w:iCs/>
                <w:spacing w:val="-2"/>
              </w:rPr>
              <w:t>Intelligenza Artificiale</w:t>
            </w:r>
          </w:p>
        </w:tc>
      </w:tr>
      <w:tr w:rsidR="00873866" w:rsidTr="28AA2412" w14:paraId="697072D7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4B19008C" w14:textId="77777777">
            <w:pPr>
              <w:pStyle w:val="TableParagraph"/>
              <w:spacing w:before="76"/>
              <w:ind w:left="90" w:right="6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Insegnamento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integrato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cui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appartiene il modulo</w:t>
            </w:r>
          </w:p>
        </w:tc>
        <w:tc>
          <w:tcPr>
            <w:tcW w:w="9313" w:type="dxa"/>
            <w:tcMar/>
          </w:tcPr>
          <w:p w:rsidRPr="00D958AF" w:rsidR="00873866" w:rsidP="28AA2412" w:rsidRDefault="00873866" w14:paraId="476595BC" w14:textId="11CA4C33">
            <w:pPr>
              <w:pStyle w:val="TableParagraph"/>
              <w:spacing w:before="75"/>
              <w:ind w:left="8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28AA2412" w:rsidR="4DAE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P.A. Digitale</w:t>
            </w:r>
          </w:p>
          <w:p w:rsidRPr="00D958AF" w:rsidR="00873866" w:rsidP="28AA2412" w:rsidRDefault="00873866" w14:paraId="1936E15D" w14:textId="4211C2D8">
            <w:pPr>
              <w:pStyle w:val="TableParagraph"/>
              <w:spacing w:before="75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</w:tr>
      <w:tr w:rsidR="00873866" w:rsidTr="28AA2412" w14:paraId="5DBA2731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19F29BF1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Docente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referente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del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 xml:space="preserve"> modulo</w:t>
            </w:r>
          </w:p>
        </w:tc>
        <w:tc>
          <w:tcPr>
            <w:tcW w:w="9313" w:type="dxa"/>
            <w:tcMar/>
          </w:tcPr>
          <w:p w:rsidR="00873866" w:rsidP="0F2561BC" w:rsidRDefault="00873866" w14:paraId="0B552D5E" w14:textId="5016CFEA">
            <w:pPr>
              <w:pStyle w:val="TableParagraph"/>
              <w:ind w:left="0"/>
              <w:rPr>
                <w:rFonts w:asciiTheme="minorHAnsi" w:hAnsiTheme="minorHAnsi" w:eastAsiaTheme="minorEastAsia" w:cstheme="minorBidi"/>
              </w:rPr>
            </w:pPr>
          </w:p>
        </w:tc>
      </w:tr>
      <w:tr w:rsidR="00873866" w:rsidTr="28AA2412" w14:paraId="68EC0517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497E7DE8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  <w:spacing w:val="-4"/>
              </w:rPr>
              <w:t>Tutor</w:t>
            </w:r>
          </w:p>
        </w:tc>
        <w:tc>
          <w:tcPr>
            <w:tcW w:w="9313" w:type="dxa"/>
            <w:tcMar/>
          </w:tcPr>
          <w:p w:rsidR="00873866" w:rsidP="0F2561BC" w:rsidRDefault="00873866" w14:paraId="14B117D5" w14:textId="16331D66">
            <w:pPr>
              <w:pStyle w:val="TableParagraph"/>
              <w:ind w:left="0"/>
              <w:rPr>
                <w:rFonts w:asciiTheme="minorHAnsi" w:hAnsiTheme="minorHAnsi" w:eastAsiaTheme="minorEastAsia" w:cstheme="minorBidi"/>
              </w:rPr>
            </w:pPr>
          </w:p>
        </w:tc>
      </w:tr>
      <w:tr w:rsidR="00431C8B" w:rsidTr="28AA2412" w14:paraId="412CCD2E" w14:textId="77777777">
        <w:trPr>
          <w:trHeight w:val="634"/>
        </w:trPr>
        <w:tc>
          <w:tcPr>
            <w:tcW w:w="3815" w:type="dxa"/>
            <w:tcMar/>
          </w:tcPr>
          <w:p w:rsidR="00431C8B" w:rsidP="0F2561BC" w:rsidRDefault="00431C8B" w14:paraId="023272AE" w14:textId="6425C0A0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Anno di erogazione</w:t>
            </w:r>
          </w:p>
        </w:tc>
        <w:tc>
          <w:tcPr>
            <w:tcW w:w="9313" w:type="dxa"/>
            <w:tcMar/>
          </w:tcPr>
          <w:p w:rsidRPr="00D958AF" w:rsidR="00431C8B" w:rsidP="0F2561BC" w:rsidRDefault="00E445CB" w14:paraId="64663C86" w14:textId="4195C78F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D958AF">
              <w:rPr>
                <w:rFonts w:asciiTheme="minorHAnsi" w:hAnsiTheme="minorHAnsi" w:eastAsiaTheme="minorEastAsia" w:cstheme="minorBidi"/>
                <w:iCs/>
              </w:rPr>
              <w:t>I</w:t>
            </w:r>
          </w:p>
        </w:tc>
      </w:tr>
      <w:tr w:rsidR="00431C8B" w:rsidTr="28AA2412" w14:paraId="0ECE180D" w14:textId="77777777">
        <w:trPr>
          <w:trHeight w:val="634"/>
        </w:trPr>
        <w:tc>
          <w:tcPr>
            <w:tcW w:w="3815" w:type="dxa"/>
            <w:tcMar/>
          </w:tcPr>
          <w:p w:rsidR="00431C8B" w:rsidP="0F2561BC" w:rsidRDefault="00431C8B" w14:paraId="7E447BE9" w14:textId="48F5E8CA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Semestre di erogazione</w:t>
            </w:r>
          </w:p>
        </w:tc>
        <w:tc>
          <w:tcPr>
            <w:tcW w:w="9313" w:type="dxa"/>
            <w:tcMar/>
          </w:tcPr>
          <w:p w:rsidRPr="00D958AF" w:rsidR="00431C8B" w:rsidP="0F2561BC" w:rsidRDefault="00E445CB" w14:paraId="24529295" w14:textId="2A15975C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D958AF">
              <w:rPr>
                <w:rFonts w:asciiTheme="minorHAnsi" w:hAnsiTheme="minorHAnsi" w:eastAsiaTheme="minorEastAsia" w:cstheme="minorBidi"/>
                <w:iCs/>
              </w:rPr>
              <w:t>I</w:t>
            </w:r>
          </w:p>
        </w:tc>
      </w:tr>
      <w:tr w:rsidR="00873866" w:rsidTr="28AA2412" w14:paraId="6034334A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1A922A99" w14:paraId="418C44D5" w14:textId="2071728C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dedicate alla Didattica Erogativa (TEL-DE – Registrazioni a distanza, fatte dal docente)</w:t>
            </w:r>
          </w:p>
        </w:tc>
        <w:tc>
          <w:tcPr>
            <w:tcW w:w="9313" w:type="dxa"/>
            <w:tcMar/>
          </w:tcPr>
          <w:p w:rsidRPr="00D958AF" w:rsidR="00873866" w:rsidP="1EE8A797" w:rsidRDefault="0AB30679" w14:paraId="3D39746C" w14:textId="77777777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D958AF">
              <w:rPr>
                <w:rFonts w:asciiTheme="minorHAnsi" w:hAnsiTheme="minorHAnsi" w:eastAsiaTheme="minorEastAsia" w:cstheme="minorBidi"/>
                <w:iCs/>
                <w:spacing w:val="-2"/>
              </w:rPr>
              <w:t>9</w:t>
            </w:r>
          </w:p>
        </w:tc>
      </w:tr>
      <w:tr w:rsidR="0F2561BC" w:rsidTr="28AA2412" w14:paraId="58D77409" w14:textId="77777777">
        <w:trPr>
          <w:trHeight w:val="300"/>
        </w:trPr>
        <w:tc>
          <w:tcPr>
            <w:tcW w:w="3815" w:type="dxa"/>
            <w:tcMar/>
          </w:tcPr>
          <w:p w:rsidR="0F2561BC" w:rsidP="0F2561BC" w:rsidRDefault="0F2561BC" w14:paraId="662CDD7F" w14:textId="2259D236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in presenza (fatte dal docente)</w:t>
            </w:r>
          </w:p>
        </w:tc>
        <w:tc>
          <w:tcPr>
            <w:tcW w:w="9313" w:type="dxa"/>
            <w:tcMar/>
          </w:tcPr>
          <w:p w:rsidR="0F2561BC" w:rsidP="0F2561BC" w:rsidRDefault="207B7D3E" w14:paraId="7A77DFF4" w14:textId="505EFEB4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1EE8A797">
              <w:rPr>
                <w:rFonts w:asciiTheme="minorHAnsi" w:hAnsiTheme="minorHAnsi" w:eastAsiaTheme="minorEastAsia" w:cstheme="minorBidi"/>
              </w:rPr>
              <w:t>6</w:t>
            </w:r>
          </w:p>
        </w:tc>
      </w:tr>
      <w:tr w:rsidR="00873866" w:rsidTr="28AA2412" w14:paraId="16CFF5CE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537DACD4" w14:paraId="4DA098D7" w14:textId="0B76E1D6">
            <w:pPr>
              <w:pStyle w:val="TableParagraph"/>
              <w:spacing w:before="76"/>
              <w:ind w:left="90" w:right="398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dedicate alla Didattica Interattiva (TEL-DI – E-</w:t>
            </w:r>
            <w:proofErr w:type="spellStart"/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tivity</w:t>
            </w:r>
            <w:proofErr w:type="spellEnd"/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: interattive, a distanza, gestite dal docente o dal tutor)</w:t>
            </w:r>
          </w:p>
        </w:tc>
        <w:tc>
          <w:tcPr>
            <w:tcW w:w="9313" w:type="dxa"/>
            <w:tcMar/>
          </w:tcPr>
          <w:p w:rsidR="00873866" w:rsidP="00D96A03" w:rsidRDefault="00D96A03" w14:paraId="25144CB8" w14:textId="06AF2976">
            <w:pPr>
              <w:pStyle w:val="TableParagraph"/>
              <w:ind w:left="105"/>
              <w:rPr>
                <w:rFonts w:asciiTheme="minorHAnsi" w:hAnsiTheme="minorHAnsi" w:eastAsiaTheme="minorEastAsia" w:cstheme="minorBidi"/>
              </w:rPr>
            </w:pPr>
            <w:r w:rsidRPr="1EE8A797">
              <w:rPr>
                <w:rFonts w:asciiTheme="minorHAnsi" w:hAnsiTheme="minorHAnsi" w:eastAsiaTheme="minorEastAsia" w:cstheme="minorBidi"/>
              </w:rPr>
              <w:t>6</w:t>
            </w:r>
          </w:p>
        </w:tc>
      </w:tr>
      <w:tr w:rsidR="5124FA53" w:rsidTr="28AA2412" w14:paraId="7B709A1E" w14:textId="77777777">
        <w:trPr>
          <w:trHeight w:val="300"/>
        </w:trPr>
        <w:tc>
          <w:tcPr>
            <w:tcW w:w="3815" w:type="dxa"/>
            <w:tcMar/>
          </w:tcPr>
          <w:p w:rsidR="5124FA53" w:rsidP="0F2561BC" w:rsidRDefault="5124FA53" w14:paraId="6F181FBC" w14:textId="37086078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di aula virtuale (Incontri sincroni online per feedback e supporto orientativo agli studenti, gestit</w:t>
            </w:r>
            <w:r w:rsidRPr="0F2561BC" w:rsidR="4C7A67DF">
              <w:rPr>
                <w:rFonts w:asciiTheme="minorHAnsi" w:hAnsiTheme="minorHAnsi" w:eastAsiaTheme="minorEastAsia" w:cstheme="minorBidi"/>
                <w:color w:val="000000" w:themeColor="text1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 dal docente o dal tutor)</w:t>
            </w:r>
          </w:p>
        </w:tc>
        <w:tc>
          <w:tcPr>
            <w:tcW w:w="9313" w:type="dxa"/>
            <w:tcMar/>
          </w:tcPr>
          <w:p w:rsidR="2DF7E0FD" w:rsidP="0F2561BC" w:rsidRDefault="2DF7E0FD" w14:paraId="287F5F8F" w14:textId="63ABF2C4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3</w:t>
            </w:r>
          </w:p>
        </w:tc>
      </w:tr>
      <w:tr w:rsidR="5124FA53" w:rsidTr="28AA2412" w14:paraId="6A36812F" w14:textId="77777777">
        <w:trPr>
          <w:trHeight w:val="300"/>
        </w:trPr>
        <w:tc>
          <w:tcPr>
            <w:tcW w:w="3815" w:type="dxa"/>
            <w:tcMar/>
          </w:tcPr>
          <w:p w:rsidR="5124FA53" w:rsidP="0F2561BC" w:rsidRDefault="5124FA53" w14:paraId="515CCB5D" w14:textId="57BC1B35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di tutoraggio individuale (g</w:t>
            </w:r>
            <w:r w:rsidRPr="0F2561BC" w:rsidR="660EAE37">
              <w:rPr>
                <w:rFonts w:asciiTheme="minorHAnsi" w:hAnsiTheme="minorHAnsi" w:eastAsiaTheme="minorEastAsia" w:cstheme="minorBidi"/>
                <w:color w:val="000000" w:themeColor="text1"/>
              </w:rPr>
              <w:t>estite dal docente o dal tutor)</w:t>
            </w:r>
          </w:p>
        </w:tc>
        <w:tc>
          <w:tcPr>
            <w:tcW w:w="9313" w:type="dxa"/>
            <w:tcMar/>
          </w:tcPr>
          <w:p w:rsidR="48BF0CD8" w:rsidP="0F2561BC" w:rsidRDefault="48BF0CD8" w14:paraId="3203E2DA" w14:textId="5598E627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3</w:t>
            </w:r>
          </w:p>
        </w:tc>
      </w:tr>
      <w:tr w:rsidR="00873866" w:rsidTr="28AA2412" w14:paraId="104DD5DA" w14:textId="77777777">
        <w:trPr>
          <w:trHeight w:val="1098"/>
        </w:trPr>
        <w:tc>
          <w:tcPr>
            <w:tcW w:w="3815" w:type="dxa"/>
            <w:tcMar/>
          </w:tcPr>
          <w:p w:rsidR="00873866" w:rsidP="0F2561BC" w:rsidRDefault="004112CE" w14:paraId="431593D6" w14:textId="77777777">
            <w:pPr>
              <w:pStyle w:val="TableParagraph"/>
              <w:spacing w:before="75" w:line="276" w:lineRule="auto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Obiettivi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formativi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competenze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 xml:space="preserve">in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uscita</w:t>
            </w:r>
          </w:p>
        </w:tc>
        <w:tc>
          <w:tcPr>
            <w:tcW w:w="9313" w:type="dxa"/>
            <w:tcMar/>
          </w:tcPr>
          <w:p w:rsidRPr="006F138F" w:rsidR="00E445CB" w:rsidP="0F2561BC" w:rsidRDefault="00E445CB" w14:paraId="195C792B" w14:textId="6C93BD1E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Conoscere le basi dell’Intelligenza Artificiale</w:t>
            </w:r>
          </w:p>
          <w:p w:rsidRPr="006F138F" w:rsidR="00E445CB" w:rsidP="0F2561BC" w:rsidRDefault="00E445CB" w14:paraId="7ACB234D" w14:textId="66EF646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Conoscere i quattro principali approcci utilizzati nell’Intelligenza Artificiale</w:t>
            </w:r>
          </w:p>
          <w:p w:rsidRPr="0061596E" w:rsidR="00873866" w:rsidP="0061596E" w:rsidRDefault="00E445CB" w14:paraId="22F79CFA" w14:textId="6F44575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Conoscere i principi di funzionamento degli strumenti dell’Intelligenza Artificiale Generativa</w:t>
            </w:r>
          </w:p>
        </w:tc>
      </w:tr>
      <w:tr w:rsidR="00873866" w:rsidTr="28AA2412" w14:paraId="13F7E9DF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1511B40F" w14:textId="5198232D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Argomenti</w:t>
            </w:r>
            <w:r w:rsidRPr="0F2561BC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del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</w:p>
        </w:tc>
        <w:tc>
          <w:tcPr>
            <w:tcW w:w="9313" w:type="dxa"/>
            <w:tcMar/>
          </w:tcPr>
          <w:p w:rsidRPr="006F138F" w:rsidR="00EF3CDC" w:rsidP="00EF3CDC" w:rsidRDefault="00EF3CDC" w14:paraId="38406A5F" w14:textId="3900CB7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Introduzione ai quattro principali approcci all’Intelligenza Artificiale</w:t>
            </w:r>
          </w:p>
          <w:p w:rsidRPr="006F138F" w:rsidR="00EF3CDC" w:rsidP="00EF3CDC" w:rsidRDefault="006F138F" w14:paraId="6E8B9968" w14:textId="1EE76737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Agenti intelligenti</w:t>
            </w:r>
          </w:p>
          <w:p w:rsidRPr="006F138F" w:rsidR="00830E94" w:rsidP="00EF3CDC" w:rsidRDefault="006F138F" w14:paraId="606A7B5B" w14:textId="23293D3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Rappresentazione della conoscenza</w:t>
            </w:r>
          </w:p>
          <w:p w:rsidRPr="006F138F" w:rsidR="00EF3CDC" w:rsidP="00EF3CDC" w:rsidRDefault="00EF3CDC" w14:paraId="320CBC48" w14:textId="03D7700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Reti neurali e classificazione</w:t>
            </w:r>
          </w:p>
          <w:p w:rsidRPr="006F138F" w:rsidR="00EF3CDC" w:rsidP="00EF3CDC" w:rsidRDefault="00EF3CDC" w14:paraId="7AF0EBD8" w14:textId="0794A59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Reti neurali e predizione</w:t>
            </w:r>
          </w:p>
          <w:p w:rsidRPr="00893B98" w:rsidR="00CB2660" w:rsidP="00893B98" w:rsidRDefault="00EF3CDC" w14:paraId="63356F33" w14:textId="4F4874EB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5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Modelli linguistici di grandi dimensioni</w:t>
            </w:r>
          </w:p>
        </w:tc>
      </w:tr>
      <w:tr w:rsidR="00873866" w:rsidTr="28AA2412" w14:paraId="048A34BF" w14:textId="77777777">
        <w:trPr>
          <w:trHeight w:val="874"/>
        </w:trPr>
        <w:tc>
          <w:tcPr>
            <w:tcW w:w="3815" w:type="dxa"/>
            <w:tcMar/>
          </w:tcPr>
          <w:p w:rsidR="00873866" w:rsidP="0F2561BC" w:rsidRDefault="004112CE" w14:paraId="28D3CA88" w14:textId="32B46DC3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Metodi</w:t>
            </w:r>
            <w:r w:rsidRPr="0F2561BC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spacing w:val="-1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approcci</w:t>
            </w:r>
            <w:r w:rsidRPr="0F2561BC">
              <w:rPr>
                <w:rFonts w:asciiTheme="minorHAnsi" w:hAnsiTheme="minorHAnsi" w:eastAsiaTheme="minorEastAsia" w:cstheme="minorBidi"/>
                <w:spacing w:val="-1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didattici</w:t>
            </w:r>
          </w:p>
        </w:tc>
        <w:tc>
          <w:tcPr>
            <w:tcW w:w="9313" w:type="dxa"/>
            <w:tcMar/>
          </w:tcPr>
          <w:p w:rsidRPr="006F138F" w:rsidR="00EF3CDC" w:rsidP="00EF3CDC" w:rsidRDefault="00EF3CDC" w14:paraId="3C6BFC9C" w14:textId="74960A61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Il corso si svolge in modalità̀ prevalentemente a distanza e in lingua italiana. Si articola in attività̀ di Didattica Erogativa (DE) e di Didattica Interattiva (DI).</w:t>
            </w:r>
          </w:p>
          <w:p w:rsidRPr="006F138F" w:rsidR="00EF3CDC" w:rsidP="00EF3CDC" w:rsidRDefault="00EF3CDC" w14:paraId="15C6C8D6" w14:textId="2F6842B0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Le lezioni in presenza (6 ore) sono svolte in aula ed erogate in un ambiente di videoconf</w:t>
            </w:r>
            <w:r w:rsidRPr="006F138F" w:rsidR="006F138F">
              <w:rPr>
                <w:rFonts w:asciiTheme="minorHAnsi" w:hAnsiTheme="minorHAnsi" w:eastAsiaTheme="minorEastAsia" w:cstheme="minorBidi"/>
                <w:iCs/>
              </w:rPr>
              <w:t>erenza che consente</w:t>
            </w:r>
            <w:r w:rsidRPr="006F138F">
              <w:rPr>
                <w:rFonts w:asciiTheme="minorHAnsi" w:hAnsiTheme="minorHAnsi" w:eastAsiaTheme="minorEastAsia" w:cstheme="minorBidi"/>
                <w:iCs/>
              </w:rPr>
              <w:t xml:space="preserve"> la partecipazione attiva degli studenti da remoto. Sono disponibili nella pagina del corso videolezioni preregistrate della durata di circa 15 minuti e materiali di studio (DE, 9 ore corrispondenti per motivi di riascolto a 18 ore</w:t>
            </w:r>
            <w:r w:rsidRPr="006F138F" w:rsidR="00893B98">
              <w:rPr>
                <w:rFonts w:asciiTheme="minorHAnsi" w:hAnsiTheme="minorHAnsi" w:eastAsiaTheme="minorEastAsia" w:cstheme="minorBidi"/>
                <w:iCs/>
              </w:rPr>
              <w:t>).</w:t>
            </w:r>
          </w:p>
          <w:p w:rsidR="00873866" w:rsidP="00893B98" w:rsidRDefault="00893B98" w14:paraId="600D97EC" w14:textId="4EE3B7E7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La scansione delle attività</w:t>
            </w:r>
            <w:r w:rsidRPr="006F138F" w:rsidR="00EF3CDC">
              <w:rPr>
                <w:rFonts w:asciiTheme="minorHAnsi" w:hAnsiTheme="minorHAnsi" w:eastAsiaTheme="minorEastAsia" w:cstheme="minorBidi"/>
                <w:iCs/>
              </w:rPr>
              <w:t xml:space="preserve"> in ore potrebbe subire modifiche durante lo svolgimento del corso alla luce dei feedback degli studenti e delle studentesse ed elementi di natura organizzativa.</w:t>
            </w:r>
          </w:p>
        </w:tc>
      </w:tr>
      <w:tr w:rsidR="00873866" w:rsidTr="28AA2412" w14:paraId="61A7F7F3" w14:textId="77777777">
        <w:trPr>
          <w:trHeight w:val="5914"/>
        </w:trPr>
        <w:tc>
          <w:tcPr>
            <w:tcW w:w="3815" w:type="dxa"/>
            <w:tcMar/>
          </w:tcPr>
          <w:p w:rsidR="00873866" w:rsidP="3F67E0A7" w:rsidRDefault="004112CE" w14:paraId="4516281A" w14:textId="3FD1708A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3F67E0A7">
              <w:rPr>
                <w:rFonts w:asciiTheme="minorHAnsi" w:hAnsiTheme="minorHAnsi" w:eastAsiaTheme="minorEastAsia" w:cstheme="minorBidi"/>
              </w:rPr>
              <w:lastRenderedPageBreak/>
              <w:t xml:space="preserve">Struttura del </w:t>
            </w:r>
            <w:r w:rsidRPr="3F67E0A7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  <w:r w:rsidRPr="3F67E0A7" w:rsidR="062FE71C">
              <w:rPr>
                <w:rFonts w:asciiTheme="minorHAnsi" w:hAnsiTheme="minorHAnsi" w:eastAsiaTheme="minorEastAsia" w:cstheme="minorBidi"/>
                <w:spacing w:val="-2"/>
              </w:rPr>
              <w:t xml:space="preserve"> con indicazione delle ore per ciascuna attività</w:t>
            </w:r>
          </w:p>
        </w:tc>
        <w:tc>
          <w:tcPr>
            <w:tcW w:w="9313" w:type="dxa"/>
            <w:tcMar/>
          </w:tcPr>
          <w:p w:rsidRPr="006F138F" w:rsidR="00893B98" w:rsidP="00634348" w:rsidRDefault="00634348" w14:paraId="375BB76D" w14:textId="331261B5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b/>
                <w:iCs/>
              </w:rPr>
            </w:pPr>
            <w:r>
              <w:rPr>
                <w:rFonts w:asciiTheme="minorHAnsi" w:hAnsiTheme="minorHAnsi" w:eastAsiaTheme="minorEastAsia" w:cstheme="minorBidi"/>
                <w:b/>
                <w:iCs/>
              </w:rPr>
              <w:t xml:space="preserve"> </w:t>
            </w:r>
            <w:r w:rsidRPr="00634348" w:rsidR="00893B98">
              <w:rPr>
                <w:rFonts w:asciiTheme="minorHAnsi" w:hAnsiTheme="minorHAnsi" w:eastAsiaTheme="minorEastAsia" w:cstheme="minorBidi"/>
                <w:b/>
                <w:iCs/>
              </w:rPr>
              <w:t>Sezione 1: Introduzione ai quattro principali approcci all’Intelligenza Artificiale</w:t>
            </w:r>
          </w:p>
          <w:p w:rsidR="0078165C" w:rsidP="0078165C" w:rsidRDefault="00634348" w14:paraId="2A1FB199" w14:textId="6F1AD460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  <w:r w:rsidRPr="00634348">
              <w:rPr>
                <w:rFonts w:asciiTheme="minorHAnsi" w:hAnsiTheme="minorHAnsi" w:eastAsiaTheme="minorEastAsia" w:cstheme="minorBidi"/>
                <w:iCs/>
              </w:rPr>
              <w:t>La sezione introduce i fondamenti dell’intelligenza artificiale, presentando i principali approcci teorici che ne hanno guidato lo sviluppo: quelli basati sull’imitazione del comportamento umano e quelli orientati alla razionalità. Viene inoltre offerta una panoramica sull’evoluzione dell’IA, dalle origini fino alle prospettive future.</w:t>
            </w:r>
          </w:p>
          <w:p w:rsidRPr="0078165C" w:rsidR="00634348" w:rsidP="0078165C" w:rsidRDefault="00634348" w14:paraId="03ABBC02" w14:textId="77777777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</w:p>
          <w:p w:rsidRPr="006F138F" w:rsidR="00B5095F" w:rsidP="00634348" w:rsidRDefault="00634348" w14:paraId="7927B676" w14:textId="4F34AE5F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b/>
                <w:iCs/>
              </w:rPr>
            </w:pPr>
            <w:r>
              <w:rPr>
                <w:rFonts w:asciiTheme="minorHAnsi" w:hAnsiTheme="minorHAnsi" w:eastAsiaTheme="minorEastAsia" w:cstheme="minorBidi"/>
                <w:b/>
                <w:iCs/>
              </w:rPr>
              <w:t xml:space="preserve"> </w:t>
            </w:r>
            <w:r w:rsidRPr="00634348" w:rsidR="00B5095F">
              <w:rPr>
                <w:rFonts w:asciiTheme="minorHAnsi" w:hAnsiTheme="minorHAnsi" w:eastAsiaTheme="minorEastAsia" w:cstheme="minorBidi"/>
                <w:b/>
                <w:iCs/>
              </w:rPr>
              <w:t>Sezione 2: Agenti razionali e pianificazione mediante ricerca</w:t>
            </w:r>
          </w:p>
          <w:p w:rsidR="0078165C" w:rsidP="0078165C" w:rsidRDefault="00634348" w14:paraId="4DC529F3" w14:textId="711BBEA1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  <w:r w:rsidRPr="00634348">
              <w:rPr>
                <w:rFonts w:asciiTheme="minorHAnsi" w:hAnsiTheme="minorHAnsi" w:eastAsiaTheme="minorEastAsia" w:cstheme="minorBidi"/>
                <w:iCs/>
              </w:rPr>
              <w:t>In questa sezione si approfondisce il concetto di agente intelligente e razionale, analizzandone il funzionamento e le caratteristiche. Vengono inoltre introdotti i principi della pianificazione attraverso tecniche di ricerca, con riferimento alle strategie utilizzate per prendere decisioni e risolvere problemi.</w:t>
            </w:r>
          </w:p>
          <w:p w:rsidRPr="0078165C" w:rsidR="00634348" w:rsidP="0078165C" w:rsidRDefault="00634348" w14:paraId="1591FD6C" w14:textId="77777777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</w:p>
          <w:p w:rsidR="00B5095F" w:rsidP="00634348" w:rsidRDefault="00634348" w14:paraId="59B46DFB" w14:textId="4EAC9DF5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b/>
                <w:iCs/>
              </w:rPr>
            </w:pPr>
            <w:r>
              <w:rPr>
                <w:rFonts w:asciiTheme="minorHAnsi" w:hAnsiTheme="minorHAnsi" w:eastAsiaTheme="minorEastAsia" w:cstheme="minorBidi"/>
                <w:b/>
                <w:iCs/>
              </w:rPr>
              <w:t xml:space="preserve"> </w:t>
            </w:r>
            <w:r w:rsidRPr="00634348" w:rsidR="00B5095F">
              <w:rPr>
                <w:rFonts w:asciiTheme="minorHAnsi" w:hAnsiTheme="minorHAnsi" w:eastAsiaTheme="minorEastAsia" w:cstheme="minorBidi"/>
                <w:b/>
                <w:iCs/>
              </w:rPr>
              <w:t>Sezione 3: Rappresentazione della conoscenza</w:t>
            </w:r>
          </w:p>
          <w:p w:rsidR="00634348" w:rsidP="2462E687" w:rsidRDefault="00634348" w14:paraId="3D8491A9" w14:textId="77777777">
            <w:pPr>
              <w:pStyle w:val="TableParagraph"/>
              <w:spacing w:before="75" w:line="259" w:lineRule="auto"/>
              <w:rPr>
                <w:rFonts w:asciiTheme="minorHAnsi" w:hAnsiTheme="minorHAnsi" w:eastAsiaTheme="minorEastAsia" w:cstheme="minorBidi"/>
                <w:iCs/>
              </w:rPr>
            </w:pPr>
            <w:r w:rsidRPr="00634348">
              <w:rPr>
                <w:rFonts w:asciiTheme="minorHAnsi" w:hAnsiTheme="minorHAnsi" w:eastAsiaTheme="minorEastAsia" w:cstheme="minorBidi"/>
                <w:iCs/>
              </w:rPr>
              <w:t xml:space="preserve">La sezione affronta i metodi per rappresentare formalmente la conoscenza, con particolare attenzione ai linguaggi logici e alla logica dei predicati (sintassi, semantica e processi deduttivi). Include anche attività applicative e collaborative, in cui gli studenti sviluppano semplici programmi logici e riflettono sui risultati. Viene infine introdotta la programmazione logica in </w:t>
            </w:r>
            <w:proofErr w:type="spellStart"/>
            <w:r w:rsidRPr="00634348">
              <w:rPr>
                <w:rFonts w:asciiTheme="minorHAnsi" w:hAnsiTheme="minorHAnsi" w:eastAsiaTheme="minorEastAsia" w:cstheme="minorBidi"/>
                <w:iCs/>
              </w:rPr>
              <w:t>Prolog</w:t>
            </w:r>
            <w:proofErr w:type="spellEnd"/>
            <w:r w:rsidRPr="00634348">
              <w:rPr>
                <w:rFonts w:asciiTheme="minorHAnsi" w:hAnsiTheme="minorHAnsi" w:eastAsiaTheme="minorEastAsia" w:cstheme="minorBidi"/>
                <w:iCs/>
              </w:rPr>
              <w:t xml:space="preserve"> e il suo utilizzo per la deduzione e la manipolazione di strutture </w:t>
            </w:r>
            <w:proofErr w:type="spellStart"/>
            <w:r w:rsidRPr="00634348">
              <w:rPr>
                <w:rFonts w:asciiTheme="minorHAnsi" w:hAnsiTheme="minorHAnsi" w:eastAsiaTheme="minorEastAsia" w:cstheme="minorBidi"/>
                <w:iCs/>
              </w:rPr>
              <w:t>dati.</w:t>
            </w:r>
          </w:p>
          <w:p w:rsidR="00634348" w:rsidP="2462E687" w:rsidRDefault="00634348" w14:paraId="3BD57E10" w14:textId="77777777">
            <w:pPr>
              <w:pStyle w:val="TableParagraph"/>
              <w:spacing w:before="75" w:line="259" w:lineRule="auto"/>
              <w:rPr>
                <w:rFonts w:asciiTheme="minorHAnsi" w:hAnsiTheme="minorHAnsi" w:eastAsiaTheme="minorEastAsia" w:cstheme="minorBidi"/>
                <w:iCs/>
              </w:rPr>
            </w:pPr>
            <w:proofErr w:type="spellEnd"/>
          </w:p>
          <w:p w:rsidRPr="00A569EC" w:rsidR="0078165C" w:rsidP="2462E687" w:rsidRDefault="0078165C" w14:paraId="199A1FAC" w14:textId="068F537F">
            <w:pPr>
              <w:pStyle w:val="TableParagraph"/>
              <w:spacing w:before="75"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569EC">
              <w:rPr>
                <w:rFonts w:ascii="Calibri" w:hAnsi="Calibri" w:cs="Calibri"/>
                <w:b/>
                <w:bCs/>
                <w:color w:val="000000"/>
                <w:highlight w:val="lightGray"/>
                <w:shd w:val="clear" w:color="auto" w:fill="FFFFFF"/>
              </w:rPr>
              <w:t>E-tivity 1</w:t>
            </w:r>
            <w:r w:rsidRPr="00A569E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78165C" w:rsidP="0078165C" w:rsidRDefault="0078165C" w14:paraId="1C4AD137" w14:textId="77475A06">
            <w:pPr>
              <w:pStyle w:val="TableParagraph"/>
              <w:spacing w:before="75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:rsidRPr="0078165C" w:rsidR="0078165C" w:rsidP="0078165C" w:rsidRDefault="0078165C" w14:paraId="252BCC56" w14:textId="3632C4D7">
            <w:pPr>
              <w:pStyle w:val="TableParagraph"/>
              <w:tabs>
                <w:tab w:val="left" w:pos="244"/>
              </w:tabs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525A5">
              <w:rPr>
                <w:rFonts w:ascii="Calibri" w:hAnsi="Calibri" w:cs="Calibri"/>
                <w:color w:val="000000"/>
                <w:highlight w:val="lightGray"/>
                <w:shd w:val="clear" w:color="auto" w:fill="FFFFFF"/>
              </w:rPr>
              <w:t>Attività 3.</w:t>
            </w:r>
            <w:r>
              <w:rPr>
                <w:rFonts w:ascii="Calibri" w:hAnsi="Calibri" w:cs="Calibri"/>
                <w:color w:val="000000"/>
                <w:highlight w:val="lightGray"/>
                <w:shd w:val="clear" w:color="auto" w:fill="FFFFFF"/>
              </w:rPr>
              <w:t>6</w:t>
            </w:r>
            <w:r w:rsidRPr="005525A5">
              <w:rPr>
                <w:rFonts w:ascii="Calibri" w:hAnsi="Calibri" w:cs="Calibri"/>
                <w:color w:val="000000"/>
                <w:highlight w:val="lightGray"/>
                <w:shd w:val="clear" w:color="auto" w:fill="FFFFFF"/>
              </w:rPr>
              <w:t xml:space="preserve"> - Aula virtuale</w:t>
            </w:r>
            <w:r w:rsidRPr="005525A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(1,5 ore di incontro via Teams): il docente commenta alcune delle relazioni consegnate e ne discute con tutta la classe.</w:t>
            </w:r>
          </w:p>
          <w:p w:rsidR="00893B98" w:rsidP="005525A5" w:rsidRDefault="00893B98" w14:paraId="6791AC3E" w14:textId="77777777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D96A03" w:rsidR="00893B98" w:rsidP="00B5095F" w:rsidRDefault="00B5095F" w14:paraId="7C15074B" w14:textId="5F028641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/>
                <w:iCs/>
              </w:rPr>
            </w:pPr>
            <w:r w:rsidRPr="00292CA5">
              <w:rPr>
                <w:rFonts w:asciiTheme="minorHAnsi" w:hAnsiTheme="minorHAnsi" w:eastAsiaTheme="minorEastAsia" w:cstheme="minorBidi"/>
                <w:b/>
                <w:iCs/>
              </w:rPr>
              <w:t xml:space="preserve">Sezione 4: </w:t>
            </w:r>
            <w:r w:rsidRPr="00292CA5" w:rsidR="00893B98">
              <w:rPr>
                <w:rFonts w:asciiTheme="minorHAnsi" w:hAnsiTheme="minorHAnsi" w:eastAsiaTheme="minorEastAsia" w:cstheme="minorBidi"/>
                <w:b/>
                <w:iCs/>
              </w:rPr>
              <w:t>Reti neurali e classificazione</w:t>
            </w:r>
          </w:p>
          <w:p w:rsidR="0078165C" w:rsidP="0078165C" w:rsidRDefault="00292CA5" w14:paraId="0326C9CE" w14:textId="7AC43003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Cs/>
              </w:rPr>
            </w:pPr>
            <w:r w:rsidRPr="00292CA5">
              <w:rPr>
                <w:rFonts w:asciiTheme="minorHAnsi" w:hAnsiTheme="minorHAnsi" w:eastAsiaTheme="minorEastAsia" w:cstheme="minorBidi"/>
                <w:iCs/>
              </w:rPr>
              <w:t>Questa sezione introduce i fondamenti delle reti neurali artificiali, a partire dai modelli di base fino alle architetture feed-</w:t>
            </w:r>
            <w:proofErr w:type="spellStart"/>
            <w:r w:rsidRPr="00292CA5">
              <w:rPr>
                <w:rFonts w:asciiTheme="minorHAnsi" w:hAnsiTheme="minorHAnsi" w:eastAsiaTheme="minorEastAsia" w:cstheme="minorBidi"/>
                <w:iCs/>
              </w:rPr>
              <w:t>forward</w:t>
            </w:r>
            <w:proofErr w:type="spellEnd"/>
            <w:r w:rsidRPr="00292CA5">
              <w:rPr>
                <w:rFonts w:asciiTheme="minorHAnsi" w:hAnsiTheme="minorHAnsi" w:eastAsiaTheme="minorEastAsia" w:cstheme="minorBidi"/>
                <w:iCs/>
              </w:rPr>
              <w:t>. Si analizzano i processi di addestramento e le capacità di approssimazione delle funzioni. Particolare attenzione è dedicata ai problemi di classificazione, sia binaria sia multi-classe.</w:t>
            </w:r>
          </w:p>
          <w:p w:rsidR="00292CA5" w:rsidP="0078165C" w:rsidRDefault="00292CA5" w14:paraId="635544AC" w14:textId="77777777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D96A03" w:rsidR="00F62EC7" w:rsidP="00F62EC7" w:rsidRDefault="00F62EC7" w14:paraId="5067AA62" w14:textId="58CB1873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/>
                <w:iCs/>
              </w:rPr>
            </w:pPr>
            <w:r w:rsidRPr="00A569EC">
              <w:rPr>
                <w:rFonts w:asciiTheme="minorHAnsi" w:hAnsiTheme="minorHAnsi" w:eastAsiaTheme="minorEastAsia" w:cstheme="minorBidi"/>
                <w:b/>
                <w:iCs/>
              </w:rPr>
              <w:t>Sezione 5: Reti neurali e predizione</w:t>
            </w:r>
          </w:p>
          <w:p w:rsidR="00F62EC7" w:rsidP="00F62EC7" w:rsidRDefault="00A569EC" w14:paraId="4B24734A" w14:textId="027B4370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Cs/>
              </w:rPr>
            </w:pPr>
            <w:r w:rsidRPr="00A569EC">
              <w:rPr>
                <w:rFonts w:asciiTheme="minorHAnsi" w:hAnsiTheme="minorHAnsi" w:eastAsiaTheme="minorEastAsia" w:cstheme="minorBidi"/>
                <w:iCs/>
              </w:rPr>
              <w:t>La sezione è dedicata all’uso delle reti neurali per la modellazione di fenomeni dinamici e la predizione. Vengono introdotte le reti neurali ricorrenti e le loro varianti profonde, con applicazioni alla previsione di serie temporali e sequenze simboliche.</w:t>
            </w:r>
          </w:p>
          <w:p w:rsidR="00A569EC" w:rsidP="00F62EC7" w:rsidRDefault="00A569EC" w14:paraId="0A1FDDC8" w14:textId="77777777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="00F62EC7" w:rsidP="00F62EC7" w:rsidRDefault="00F62EC7" w14:paraId="5CF044AC" w14:textId="754A7961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/>
                <w:iCs/>
              </w:rPr>
            </w:pPr>
            <w:r w:rsidRPr="00A569EC">
              <w:rPr>
                <w:rFonts w:asciiTheme="minorHAnsi" w:hAnsiTheme="minorHAnsi" w:eastAsiaTheme="minorEastAsia" w:cstheme="minorBidi"/>
                <w:b/>
                <w:iCs/>
              </w:rPr>
              <w:t>Sezione 6: Modelli linguistici di grandi dimensioni</w:t>
            </w:r>
            <w:r w:rsidRPr="00F62EC7">
              <w:rPr>
                <w:rFonts w:asciiTheme="minorHAnsi" w:hAnsiTheme="minorHAnsi" w:eastAsiaTheme="minorEastAsia" w:cstheme="minorBidi"/>
                <w:b/>
                <w:iCs/>
              </w:rPr>
              <w:t xml:space="preserve"> </w:t>
            </w:r>
          </w:p>
          <w:p w:rsidR="00A569EC" w:rsidP="0078165C" w:rsidRDefault="00A569EC" w14:paraId="290EC4A2" w14:textId="50DA4272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Cs/>
                <w:iCs/>
              </w:rPr>
            </w:pPr>
            <w:r w:rsidRPr="00A569EC">
              <w:rPr>
                <w:rFonts w:asciiTheme="minorHAnsi" w:hAnsiTheme="minorHAnsi" w:eastAsiaTheme="minorEastAsia" w:cstheme="minorBidi"/>
                <w:iCs/>
              </w:rPr>
              <w:t>In questa sezione si esplorano i modelli linguistici avanzati (LLM), illustrandone funzionamento, modalità di accesso e principali applicazioni, come la generazione di testo. Sono previste attività pratiche in cui gli studenti progettano e testano interazioni con chatbot, riflettendo sui risultati. Vengono inoltre trattati aspetti legati alla predizione e all’addestramento di tali modelli.</w:t>
            </w:r>
          </w:p>
          <w:p w:rsidRPr="0078165C" w:rsidR="00A569EC" w:rsidP="0078165C" w:rsidRDefault="00A569EC" w14:paraId="556B8D1E" w14:textId="77777777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Cs/>
                <w:iCs/>
              </w:rPr>
            </w:pPr>
          </w:p>
          <w:p w:rsidRPr="00A569EC" w:rsidR="0078165C" w:rsidP="0D382E33" w:rsidRDefault="0078165C" w14:paraId="5EEA9A76" w14:textId="4FE45B4C">
            <w:pPr>
              <w:pStyle w:val="TableParagraph"/>
              <w:tabs>
                <w:tab w:val="left" w:pos="244"/>
              </w:tabs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A569EC">
              <w:rPr>
                <w:rFonts w:ascii="Calibri" w:hAnsi="Calibri" w:cs="Calibri"/>
                <w:b/>
                <w:bCs/>
                <w:color w:val="000000"/>
                <w:highlight w:val="lightGray"/>
                <w:shd w:val="clear" w:color="auto" w:fill="FFFFFF"/>
              </w:rPr>
              <w:t>E-</w:t>
            </w:r>
            <w:proofErr w:type="spellStart"/>
            <w:r w:rsidRPr="00A569EC">
              <w:rPr>
                <w:rFonts w:ascii="Calibri" w:hAnsi="Calibri" w:cs="Calibri"/>
                <w:b/>
                <w:bCs/>
                <w:color w:val="000000"/>
                <w:highlight w:val="lightGray"/>
                <w:shd w:val="clear" w:color="auto" w:fill="FFFFFF"/>
              </w:rPr>
              <w:t>tivity</w:t>
            </w:r>
            <w:proofErr w:type="spellEnd"/>
            <w:r w:rsidRPr="00A569EC">
              <w:rPr>
                <w:rFonts w:ascii="Calibri" w:hAnsi="Calibri" w:cs="Calibri"/>
                <w:b/>
                <w:bCs/>
                <w:color w:val="000000"/>
                <w:highlight w:val="lightGray"/>
                <w:shd w:val="clear" w:color="auto" w:fill="FFFFFF"/>
              </w:rPr>
              <w:t xml:space="preserve"> 2</w:t>
            </w:r>
            <w:r w:rsidRPr="00A569E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D382E33" w:rsidP="0D382E33" w:rsidRDefault="0D382E33" w14:paraId="04B90467" w14:textId="34020241">
            <w:pPr>
              <w:pStyle w:val="TableParagraph"/>
              <w:tabs>
                <w:tab w:val="left" w:pos="244"/>
              </w:tabs>
              <w:rPr>
                <w:rFonts w:ascii="Calibri" w:hAnsi="Calibri" w:cs="Calibri"/>
                <w:color w:val="000000" w:themeColor="text1"/>
              </w:rPr>
            </w:pPr>
          </w:p>
          <w:p w:rsidRPr="0078165C" w:rsidR="0078165C" w:rsidP="0078165C" w:rsidRDefault="0078165C" w14:paraId="2DE4E7D1" w14:textId="51333214">
            <w:pPr>
              <w:pStyle w:val="TableParagraph"/>
              <w:tabs>
                <w:tab w:val="left" w:pos="244"/>
              </w:tabs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78165C">
              <w:rPr>
                <w:rFonts w:ascii="Calibri" w:hAnsi="Calibri" w:cs="Calibri"/>
                <w:bCs/>
                <w:color w:val="000000"/>
                <w:highlight w:val="lightGray"/>
                <w:shd w:val="clear" w:color="auto" w:fill="FFFFFF"/>
              </w:rPr>
              <w:t xml:space="preserve">Attività </w:t>
            </w:r>
            <w:r>
              <w:rPr>
                <w:rFonts w:ascii="Calibri" w:hAnsi="Calibri" w:cs="Calibri"/>
                <w:bCs/>
                <w:color w:val="000000"/>
                <w:highlight w:val="lightGray"/>
                <w:shd w:val="clear" w:color="auto" w:fill="FFFFFF"/>
              </w:rPr>
              <w:t>6</w:t>
            </w:r>
            <w:r w:rsidRPr="0078165C">
              <w:rPr>
                <w:rFonts w:ascii="Calibri" w:hAnsi="Calibri" w:cs="Calibri"/>
                <w:bCs/>
                <w:color w:val="000000"/>
                <w:highlight w:val="lightGray"/>
                <w:shd w:val="clear" w:color="auto" w:fill="FFFFFF"/>
              </w:rPr>
              <w:t>.</w:t>
            </w:r>
            <w:r>
              <w:rPr>
                <w:rFonts w:ascii="Calibri" w:hAnsi="Calibri" w:cs="Calibri"/>
                <w:bCs/>
                <w:color w:val="000000"/>
                <w:highlight w:val="lightGray"/>
                <w:shd w:val="clear" w:color="auto" w:fill="FFFFFF"/>
              </w:rPr>
              <w:t>4</w:t>
            </w:r>
            <w:r w:rsidRPr="0078165C">
              <w:rPr>
                <w:rFonts w:ascii="Calibri" w:hAnsi="Calibri" w:cs="Calibri"/>
                <w:bCs/>
                <w:color w:val="000000"/>
                <w:highlight w:val="lightGray"/>
                <w:shd w:val="clear" w:color="auto" w:fill="FFFFFF"/>
              </w:rPr>
              <w:t xml:space="preserve"> - Aula virtuale</w:t>
            </w:r>
            <w:r w:rsidRPr="0078165C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(1,5 ore di incontro via Teams): il docente commenta alcune delle relazioni consegnate e ne discute con tutta la classe.</w:t>
            </w:r>
          </w:p>
          <w:p w:rsidR="0078165C" w:rsidP="0078165C" w:rsidRDefault="0078165C" w14:paraId="7B4C2163" w14:textId="77777777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bCs/>
                <w:iCs/>
              </w:rPr>
            </w:pPr>
          </w:p>
          <w:p w:rsidRPr="0078165C" w:rsidR="0078165C" w:rsidP="0D382E33" w:rsidRDefault="0078165C" w14:paraId="385EC710" w14:textId="32002188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</w:rPr>
            </w:pPr>
            <w:r w:rsidRPr="00A569EC">
              <w:rPr>
                <w:rFonts w:asciiTheme="minorHAnsi" w:hAnsiTheme="minorHAnsi" w:eastAsiaTheme="minorEastAsia" w:cstheme="minorBidi"/>
              </w:rPr>
              <w:t xml:space="preserve">Totale durata videolezioni registrate: </w:t>
            </w:r>
            <w:r w:rsidRPr="00A569EC" w:rsidR="00E94ABF">
              <w:rPr>
                <w:rFonts w:asciiTheme="minorHAnsi" w:hAnsiTheme="minorHAnsi" w:eastAsiaTheme="minorEastAsia" w:cstheme="minorBidi"/>
              </w:rPr>
              <w:t>5</w:t>
            </w:r>
            <w:r w:rsidRPr="00A569EC" w:rsidR="60293A2E">
              <w:rPr>
                <w:rFonts w:asciiTheme="minorHAnsi" w:hAnsiTheme="minorHAnsi" w:eastAsiaTheme="minorEastAsia" w:cstheme="minorBidi"/>
              </w:rPr>
              <w:t>40</w:t>
            </w:r>
          </w:p>
          <w:p w:rsidR="0078165C" w:rsidP="0078165C" w:rsidRDefault="0078165C" w14:paraId="51F54E00" w14:textId="77777777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bCs/>
                <w:iCs/>
              </w:rPr>
            </w:pPr>
            <w:r>
              <w:rPr>
                <w:rFonts w:asciiTheme="minorHAnsi" w:hAnsiTheme="minorHAnsi" w:eastAsiaTheme="minorEastAsia" w:cstheme="minorBidi"/>
                <w:bCs/>
                <w:iCs/>
              </w:rPr>
              <w:t xml:space="preserve"> </w:t>
            </w:r>
          </w:p>
          <w:p w:rsidR="005525A5" w:rsidP="0078165C" w:rsidRDefault="0078165C" w14:paraId="74FDB0F0" w14:textId="4ABE3229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  <w:r>
              <w:rPr>
                <w:rFonts w:asciiTheme="minorHAnsi" w:hAnsiTheme="minorHAnsi" w:eastAsiaTheme="minorEastAsia" w:cstheme="minorBidi"/>
                <w:bCs/>
                <w:iCs/>
              </w:rPr>
              <w:t xml:space="preserve"> </w:t>
            </w:r>
            <w:r w:rsidR="005525A5">
              <w:rPr>
                <w:rFonts w:asciiTheme="minorHAnsi" w:hAnsiTheme="minorHAnsi" w:eastAsiaTheme="minorEastAsia" w:cstheme="minorBidi"/>
                <w:iCs/>
                <w:highlight w:val="lightGray"/>
              </w:rPr>
              <w:t xml:space="preserve">Attività 7. </w:t>
            </w:r>
            <w:r w:rsidRPr="005525A5" w:rsidR="005525A5">
              <w:rPr>
                <w:rFonts w:asciiTheme="minorHAnsi" w:hAnsiTheme="minorHAnsi" w:eastAsiaTheme="minorEastAsia" w:cstheme="minorBidi"/>
                <w:iCs/>
                <w:highlight w:val="lightGray"/>
              </w:rPr>
              <w:t>Tutoraggio individuale: 3 ore</w:t>
            </w:r>
            <w:r w:rsidR="005525A5">
              <w:rPr>
                <w:rFonts w:asciiTheme="minorHAnsi" w:hAnsiTheme="minorHAnsi" w:eastAsiaTheme="minorEastAsia" w:cstheme="minorBidi"/>
                <w:iCs/>
              </w:rPr>
              <w:t xml:space="preserve"> – a richiesta degli studenti secondo le esigenze del corso</w:t>
            </w:r>
          </w:p>
          <w:p w:rsidR="00A569EC" w:rsidP="0078165C" w:rsidRDefault="00A569EC" w14:paraId="1FBDE9AB" w14:textId="77777777">
            <w:pPr>
              <w:pStyle w:val="TableParagraph"/>
              <w:tabs>
                <w:tab w:val="left" w:pos="244"/>
              </w:tabs>
              <w:ind w:left="0"/>
              <w:rPr>
                <w:rFonts w:asciiTheme="minorHAnsi" w:hAnsiTheme="minorHAnsi" w:eastAsiaTheme="minorEastAsia" w:cstheme="minorBidi"/>
                <w:iCs/>
              </w:rPr>
            </w:pPr>
          </w:p>
          <w:p w:rsidR="005525A5" w:rsidP="00A74A1E" w:rsidRDefault="005525A5" w14:paraId="34DA2E15" w14:textId="77777777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Cs/>
              </w:rPr>
            </w:pPr>
          </w:p>
          <w:p w:rsidRPr="0061596E" w:rsidR="005525A5" w:rsidP="00A74A1E" w:rsidRDefault="005525A5" w14:paraId="21CD7255" w14:textId="706033E8">
            <w:pPr>
              <w:pStyle w:val="TableParagraph"/>
              <w:tabs>
                <w:tab w:val="left" w:pos="244"/>
              </w:tabs>
              <w:rPr>
                <w:rFonts w:asciiTheme="minorHAnsi" w:hAnsiTheme="minorHAnsi" w:eastAsiaTheme="minorEastAsia" w:cstheme="minorBidi"/>
                <w:iCs/>
              </w:rPr>
            </w:pPr>
            <w:r w:rsidRPr="00A569EC">
              <w:rPr>
                <w:rFonts w:asciiTheme="minorHAnsi" w:hAnsiTheme="minorHAnsi" w:eastAsiaTheme="minorEastAsia" w:cstheme="minorBidi"/>
                <w:iCs/>
              </w:rPr>
              <w:t>Attività 8: Lezioni in presenza</w:t>
            </w:r>
            <w:r>
              <w:rPr>
                <w:rFonts w:asciiTheme="minorHAnsi" w:hAnsiTheme="minorHAnsi" w:eastAsiaTheme="minorEastAsia" w:cstheme="minorBidi"/>
                <w:iCs/>
              </w:rPr>
              <w:t xml:space="preserve"> per un totale di 6 ore</w:t>
            </w:r>
          </w:p>
        </w:tc>
      </w:tr>
      <w:tr w:rsidR="00873866" w:rsidTr="28AA2412" w14:paraId="5406459F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03E01F27" w14:textId="428A279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 xml:space="preserve">Tipologia di materiali e risorse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didattiche</w:t>
            </w:r>
          </w:p>
        </w:tc>
        <w:tc>
          <w:tcPr>
            <w:tcW w:w="9313" w:type="dxa"/>
            <w:tcMar/>
          </w:tcPr>
          <w:p w:rsidRPr="0061596E" w:rsidR="00830E94" w:rsidP="0061596E" w:rsidRDefault="006F138F" w14:paraId="4817CC52" w14:textId="01C7D372">
            <w:pPr>
              <w:pStyle w:val="TableParagraph"/>
              <w:spacing w:before="74"/>
              <w:ind w:right="181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I</w:t>
            </w:r>
            <w:r w:rsidRPr="006F138F" w:rsidR="00830E94">
              <w:rPr>
                <w:rFonts w:asciiTheme="minorHAnsi" w:hAnsiTheme="minorHAnsi" w:eastAsiaTheme="minorEastAsia" w:cstheme="minorBidi"/>
                <w:iCs/>
              </w:rPr>
              <w:t xml:space="preserve">l docente mostra </w:t>
            </w:r>
            <w:r w:rsidRPr="006F138F">
              <w:rPr>
                <w:rFonts w:asciiTheme="minorHAnsi" w:hAnsiTheme="minorHAnsi" w:eastAsiaTheme="minorEastAsia" w:cstheme="minorBidi"/>
                <w:iCs/>
              </w:rPr>
              <w:t xml:space="preserve">e commenta nei video le </w:t>
            </w:r>
            <w:r w:rsidRPr="006F138F" w:rsidR="00830E94">
              <w:rPr>
                <w:rFonts w:asciiTheme="minorHAnsi" w:hAnsiTheme="minorHAnsi" w:eastAsiaTheme="minorEastAsia" w:cstheme="minorBidi"/>
                <w:iCs/>
              </w:rPr>
              <w:t>slide che trattano gli argomenti del corso.</w:t>
            </w:r>
          </w:p>
        </w:tc>
      </w:tr>
      <w:tr w:rsidR="00873866" w:rsidTr="28AA2412" w14:paraId="618E51F7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0FA9CAD1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Elenco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delle e-</w:t>
            </w:r>
            <w:proofErr w:type="spellStart"/>
            <w:r w:rsidRPr="0F2561BC">
              <w:rPr>
                <w:rFonts w:asciiTheme="minorHAnsi" w:hAnsiTheme="minorHAnsi" w:eastAsiaTheme="minorEastAsia" w:cstheme="minorBidi"/>
                <w:spacing w:val="-2"/>
              </w:rPr>
              <w:t>tivity</w:t>
            </w:r>
            <w:proofErr w:type="spellEnd"/>
          </w:p>
        </w:tc>
        <w:tc>
          <w:tcPr>
            <w:tcW w:w="9313" w:type="dxa"/>
            <w:tcMar/>
          </w:tcPr>
          <w:p w:rsidR="005525A5" w:rsidP="2462E687" w:rsidRDefault="005525A5" w14:paraId="3F54941F" w14:textId="4E7570C2">
            <w:pPr>
              <w:pStyle w:val="TableParagraph"/>
              <w:spacing w:before="75" w:line="259" w:lineRule="auto"/>
              <w:rPr>
                <w:rFonts w:ascii="Calibri" w:hAnsi="Calibri" w:cs="Calibri"/>
                <w:color w:val="000000" w:themeColor="text1"/>
              </w:rPr>
            </w:pPr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E-</w:t>
            </w:r>
            <w:proofErr w:type="spellStart"/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tivity</w:t>
            </w:r>
            <w:proofErr w:type="spellEnd"/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(3 ore di lavoro autonomo da parte degli studenti): gli studenti ricevono dal docente un testo su cui sviluppare in modo autonomo o in gruppi un programma logico. Gli studenti scrivono una relazione sul programma logico realizzato e la condividono </w:t>
            </w:r>
            <w:r w:rsidRPr="2462E687" w:rsidR="5B7559A9">
              <w:rPr>
                <w:rFonts w:ascii="Calibri" w:hAnsi="Calibri" w:cs="Calibri"/>
                <w:color w:val="000000" w:themeColor="text1"/>
              </w:rPr>
              <w:t>come compito.</w:t>
            </w:r>
          </w:p>
          <w:p w:rsidR="00873866" w:rsidP="2462E687" w:rsidRDefault="005525A5" w14:paraId="2D383E1B" w14:textId="77777777">
            <w:pPr>
              <w:pStyle w:val="TableParagraph"/>
              <w:spacing w:before="7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E-</w:t>
            </w:r>
            <w:proofErr w:type="spellStart"/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tivity</w:t>
            </w:r>
            <w:proofErr w:type="spellEnd"/>
            <w:r w:rsidRPr="00302F9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2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(3 ore di lavoro autonomo da parte degli studenti): gli studenti ricevono dal docente un testo su cui progettare delle richieste per un assistente chatbot. Gli studenti scrivono una relazione sulle richieste progettate e sui risultati ottenuti dall'interazione con un chatbot. Le relazioni vengono condivise </w:t>
            </w:r>
            <w:r w:rsidR="07496DF9">
              <w:rPr>
                <w:rFonts w:ascii="Calibri" w:hAnsi="Calibri" w:cs="Calibri"/>
                <w:color w:val="000000"/>
                <w:shd w:val="clear" w:color="auto" w:fill="FFFFFF"/>
              </w:rPr>
              <w:t>come compito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  <w:p w:rsidR="00302F9B" w:rsidP="2462E687" w:rsidRDefault="00302F9B" w14:paraId="7FD67689" w14:textId="72449129">
            <w:pPr>
              <w:pStyle w:val="TableParagraph"/>
              <w:spacing w:before="75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73866" w:rsidTr="28AA2412" w14:paraId="45431B53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2BEB55A9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 xml:space="preserve">Compiti di docenti e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tutor</w:t>
            </w:r>
          </w:p>
        </w:tc>
        <w:tc>
          <w:tcPr>
            <w:tcW w:w="9313" w:type="dxa"/>
            <w:tcMar/>
          </w:tcPr>
          <w:p w:rsidR="04CA303A" w:rsidP="04CA303A" w:rsidRDefault="04CA303A" w14:paraId="3D0397DB" w14:textId="033F34F3">
            <w:pPr>
              <w:shd w:val="clear" w:color="auto" w:fill="FFFFFF" w:themeFill="background1"/>
              <w:spacing w:line="257" w:lineRule="auto"/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Il </w:t>
            </w:r>
            <w:r w:rsidRPr="04CA303A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docente</w:t>
            </w: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ha la responsabilità didattica del modulo, registra le lezioni a distanza e tiene le lezioni in presenza, cura la predisposizione del materiale didattico e supervisiona/coordina le attività del tutor. Inoltre, coordina con i docenti afferenti al cluster la definizione, la gestione e la valutazione delle prove d’esame. </w:t>
            </w:r>
          </w:p>
          <w:p w:rsidR="04CA303A" w:rsidP="04CA303A" w:rsidRDefault="04CA303A" w14:paraId="4079DB0A" w14:textId="4F9BF5F4">
            <w:pPr>
              <w:shd w:val="clear" w:color="auto" w:fill="FFFFFF" w:themeFill="background1"/>
              <w:spacing w:line="257" w:lineRule="auto"/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</w:t>
            </w:r>
          </w:p>
          <w:p w:rsidR="04CA303A" w:rsidP="04CA303A" w:rsidRDefault="04CA303A" w14:paraId="0A1F357B" w14:textId="14E7D810">
            <w:pPr>
              <w:shd w:val="clear" w:color="auto" w:fill="FFFFFF" w:themeFill="background1"/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lastRenderedPageBreak/>
              <w:t xml:space="preserve">Il </w:t>
            </w:r>
            <w:r w:rsidRPr="04CA303A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tutor disciplinare</w:t>
            </w: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ha i seguenti compiti:</w:t>
            </w:r>
          </w:p>
          <w:p w:rsidR="04CA303A" w:rsidP="04CA303A" w:rsidRDefault="04CA303A" w14:paraId="6A778ADE" w14:textId="5A58284F">
            <w:pPr>
              <w:pStyle w:val="Paragrafoelenco"/>
              <w:numPr>
                <w:ilvl w:val="0"/>
                <w:numId w:val="1"/>
              </w:numPr>
              <w:shd w:val="clear" w:color="auto" w:fill="FFFFFF" w:themeFill="background1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Supporto accademico: aiuta gli studenti a comprendere i concetti del corso, chiarisce dubbi, risponde nei forum o per e-mail.</w:t>
            </w:r>
          </w:p>
          <w:p w:rsidR="04CA303A" w:rsidP="04CA303A" w:rsidRDefault="04CA303A" w14:paraId="42D41258" w14:textId="7BE80BD3">
            <w:pPr>
              <w:pStyle w:val="Paragrafoelenco"/>
              <w:numPr>
                <w:ilvl w:val="0"/>
                <w:numId w:val="1"/>
              </w:numPr>
              <w:shd w:val="clear" w:color="auto" w:fill="FFFFFF" w:themeFill="background1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Monitoraggio: controlla che gli studenti completino le attività, rispettino le scadenze e fornisce </w:t>
            </w:r>
            <w:proofErr w:type="gramStart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feedback</w:t>
            </w:r>
            <w:proofErr w:type="gramEnd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.</w:t>
            </w:r>
          </w:p>
          <w:p w:rsidR="04CA303A" w:rsidP="04CA303A" w:rsidRDefault="04CA303A" w14:paraId="24BEB6DF" w14:textId="64B32EB3">
            <w:pPr>
              <w:pStyle w:val="Paragrafoelenco"/>
              <w:numPr>
                <w:ilvl w:val="0"/>
                <w:numId w:val="1"/>
              </w:numPr>
              <w:shd w:val="clear" w:color="auto" w:fill="FFFFFF" w:themeFill="background1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Motivazione e coaching: incoraggia gli studenti nei momenti di difficoltà, li aiuta a gestire lo stress e a mantenere la motivazione.</w:t>
            </w:r>
          </w:p>
          <w:p w:rsidR="04CA303A" w:rsidP="04CA303A" w:rsidRDefault="04CA303A" w14:paraId="311624B7" w14:textId="7B829DFE">
            <w:pPr>
              <w:pStyle w:val="Paragrafoelenco"/>
              <w:numPr>
                <w:ilvl w:val="0"/>
                <w:numId w:val="1"/>
              </w:numPr>
              <w:shd w:val="clear" w:color="auto" w:fill="FFFFFF" w:themeFill="background1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Facilitazione delle e-</w:t>
            </w:r>
            <w:proofErr w:type="spellStart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tivity</w:t>
            </w:r>
            <w:proofErr w:type="spellEnd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: promuove la partecipazione a discussioni online, lavori di gruppo, attività collaborative e fornisce </w:t>
            </w:r>
            <w:proofErr w:type="gramStart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feedback</w:t>
            </w:r>
            <w:proofErr w:type="gramEnd"/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.</w:t>
            </w:r>
          </w:p>
          <w:p w:rsidR="04CA303A" w:rsidP="04CA303A" w:rsidRDefault="04CA303A" w14:paraId="54818ECC" w14:textId="640892D5">
            <w:pPr>
              <w:pStyle w:val="Paragrafoelenco"/>
              <w:numPr>
                <w:ilvl w:val="0"/>
                <w:numId w:val="1"/>
              </w:numPr>
              <w:shd w:val="clear" w:color="auto" w:fill="FFFFFF" w:themeFill="background1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04CA303A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Gestisce l'aula virtuale e fa il tutoraggio individuale</w:t>
            </w:r>
          </w:p>
        </w:tc>
      </w:tr>
      <w:tr w:rsidR="00873866" w:rsidTr="28AA2412" w14:paraId="5B944E36" w14:textId="77777777">
        <w:trPr>
          <w:trHeight w:val="874"/>
        </w:trPr>
        <w:tc>
          <w:tcPr>
            <w:tcW w:w="3815" w:type="dxa"/>
            <w:tcMar/>
          </w:tcPr>
          <w:p w:rsidR="00873866" w:rsidP="0F2561BC" w:rsidRDefault="004112CE" w14:paraId="3A7C1E89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lastRenderedPageBreak/>
              <w:t>Modalità</w:t>
            </w:r>
            <w:r w:rsidRPr="0F2561BC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di</w:t>
            </w:r>
            <w:r w:rsidRPr="0F2561BC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valutazione</w:t>
            </w:r>
            <w:r w:rsidRPr="0F2561BC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per</w:t>
            </w:r>
            <w:r w:rsidRPr="0F2561BC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il</w:t>
            </w:r>
            <w:r w:rsidRPr="0F2561BC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rilascio dell’open badge</w:t>
            </w:r>
          </w:p>
        </w:tc>
        <w:tc>
          <w:tcPr>
            <w:tcW w:w="9313" w:type="dxa"/>
            <w:tcMar/>
          </w:tcPr>
          <w:p w:rsidRPr="006F138F" w:rsidR="00B862DF" w:rsidP="00B862DF" w:rsidRDefault="00B862DF" w14:paraId="39CF32BF" w14:textId="32D294A1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Per completare il modulo e ottenere l’open badge, lo studente dovrà rispondere a un que</w:t>
            </w:r>
            <w:r w:rsidRPr="006F138F" w:rsidR="006F138F">
              <w:rPr>
                <w:rFonts w:asciiTheme="minorHAnsi" w:hAnsiTheme="minorHAnsi" w:eastAsiaTheme="minorEastAsia" w:cstheme="minorBidi"/>
                <w:iCs/>
              </w:rPr>
              <w:t>stionario con domande a risposte</w:t>
            </w:r>
            <w:r w:rsidRPr="006F138F">
              <w:rPr>
                <w:rFonts w:asciiTheme="minorHAnsi" w:hAnsiTheme="minorHAnsi" w:eastAsiaTheme="minorEastAsia" w:cstheme="minorBidi"/>
                <w:iCs/>
              </w:rPr>
              <w:t xml:space="preserve"> </w:t>
            </w:r>
            <w:r w:rsidRPr="006F138F" w:rsidR="006F138F">
              <w:rPr>
                <w:rFonts w:asciiTheme="minorHAnsi" w:hAnsiTheme="minorHAnsi" w:eastAsiaTheme="minorEastAsia" w:cstheme="minorBidi"/>
                <w:iCs/>
              </w:rPr>
              <w:t>chiuse</w:t>
            </w:r>
            <w:r w:rsidRPr="006F138F">
              <w:rPr>
                <w:rFonts w:asciiTheme="minorHAnsi" w:hAnsiTheme="minorHAnsi" w:eastAsiaTheme="minorEastAsia" w:cstheme="minorBidi"/>
                <w:iCs/>
              </w:rPr>
              <w:t xml:space="preserve"> per verificare la comprensione delle tematiche specifiche del corso.</w:t>
            </w:r>
          </w:p>
          <w:p w:rsidRPr="006F138F" w:rsidR="00B862DF" w:rsidP="006F138F" w:rsidRDefault="00B862DF" w14:paraId="48C3E28D" w14:textId="5F049BB1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L’unico criterio di valutazione adottato è la correttezza delle risposte.</w:t>
            </w:r>
          </w:p>
          <w:p w:rsidRPr="006F138F" w:rsidR="00B862DF" w:rsidP="006F138F" w:rsidRDefault="00B862DF" w14:paraId="6B8ABEFA" w14:textId="7EC10F33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  <w:iCs/>
              </w:rPr>
            </w:pPr>
            <w:r w:rsidRPr="006F138F">
              <w:rPr>
                <w:rFonts w:asciiTheme="minorHAnsi" w:hAnsiTheme="minorHAnsi" w:eastAsiaTheme="minorEastAsia" w:cstheme="minorBidi"/>
                <w:iCs/>
              </w:rPr>
              <w:t>Il</w:t>
            </w:r>
            <w:r w:rsidRPr="006F138F" w:rsidR="006F138F">
              <w:rPr>
                <w:rFonts w:asciiTheme="minorHAnsi" w:hAnsiTheme="minorHAnsi" w:eastAsiaTheme="minorEastAsia" w:cstheme="minorBidi"/>
                <w:iCs/>
              </w:rPr>
              <w:t xml:space="preserve"> voto è espresso in trentesimi e l</w:t>
            </w:r>
            <w:r w:rsidRPr="006F138F">
              <w:rPr>
                <w:rFonts w:asciiTheme="minorHAnsi" w:hAnsiTheme="minorHAnsi" w:eastAsiaTheme="minorEastAsia" w:cstheme="minorBidi"/>
                <w:iCs/>
              </w:rPr>
              <w:t>a prova viene considerata superata al raggiungimento del punteggio dei 18/30.</w:t>
            </w:r>
          </w:p>
          <w:p w:rsidRPr="006F138F" w:rsidR="00B862DF" w:rsidP="0526FF22" w:rsidRDefault="00B862DF" w14:paraId="44CD5CF4" w14:textId="54F41BF8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</w:rPr>
            </w:pPr>
            <w:r w:rsidRPr="2462E687">
              <w:rPr>
                <w:rFonts w:asciiTheme="minorHAnsi" w:hAnsiTheme="minorHAnsi" w:eastAsiaTheme="minorEastAsia" w:cstheme="minorBidi"/>
              </w:rPr>
              <w:t>Il</w:t>
            </w:r>
            <w:r w:rsidRPr="2462E687" w:rsidR="1B129DCE">
              <w:rPr>
                <w:rFonts w:asciiTheme="minorHAnsi" w:hAnsiTheme="minorHAnsi" w:eastAsiaTheme="minorEastAsia" w:cstheme="minorBidi"/>
              </w:rPr>
              <w:t xml:space="preserve"> superamento</w:t>
            </w:r>
            <w:r w:rsidRPr="2462E687" w:rsidR="66024872">
              <w:rPr>
                <w:rFonts w:asciiTheme="minorHAnsi" w:hAnsiTheme="minorHAnsi" w:eastAsiaTheme="minorEastAsia" w:cstheme="minorBidi"/>
              </w:rPr>
              <w:t>,</w:t>
            </w:r>
            <w:r w:rsidRPr="2462E687">
              <w:rPr>
                <w:rFonts w:asciiTheme="minorHAnsi" w:hAnsiTheme="minorHAnsi" w:eastAsiaTheme="minorEastAsia" w:cstheme="minorBidi"/>
              </w:rPr>
              <w:t xml:space="preserve"> propedeutico allo svolgimento della prova del clu</w:t>
            </w:r>
            <w:r w:rsidRPr="2462E687" w:rsidR="006F138F">
              <w:rPr>
                <w:rFonts w:asciiTheme="minorHAnsi" w:hAnsiTheme="minorHAnsi" w:eastAsiaTheme="minorEastAsia" w:cstheme="minorBidi"/>
              </w:rPr>
              <w:t>ster</w:t>
            </w:r>
            <w:r w:rsidRPr="2462E687" w:rsidR="341A1888">
              <w:rPr>
                <w:rFonts w:asciiTheme="minorHAnsi" w:hAnsiTheme="minorHAnsi" w:eastAsiaTheme="minorEastAsia" w:cstheme="minorBidi"/>
              </w:rPr>
              <w:t xml:space="preserve">, </w:t>
            </w:r>
            <w:r w:rsidRPr="2462E687" w:rsidR="006F138F">
              <w:rPr>
                <w:rFonts w:asciiTheme="minorHAnsi" w:hAnsiTheme="minorHAnsi" w:eastAsiaTheme="minorEastAsia" w:cstheme="minorBidi"/>
              </w:rPr>
              <w:t>comporta il rilascio dell’open b</w:t>
            </w:r>
            <w:r w:rsidRPr="2462E687">
              <w:rPr>
                <w:rFonts w:asciiTheme="minorHAnsi" w:hAnsiTheme="minorHAnsi" w:eastAsiaTheme="minorEastAsia" w:cstheme="minorBidi"/>
              </w:rPr>
              <w:t>adge.</w:t>
            </w:r>
          </w:p>
          <w:p w:rsidR="00873866" w:rsidP="3F67E0A7" w:rsidRDefault="3E0A6203" w14:paraId="3ADDB99D" w14:textId="77777777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</w:rPr>
            </w:pPr>
            <w:r w:rsidRPr="3F67E0A7">
              <w:rPr>
                <w:rFonts w:asciiTheme="minorHAnsi" w:hAnsiTheme="minorHAnsi" w:eastAsiaTheme="minorEastAsia" w:cstheme="minorBidi"/>
              </w:rPr>
              <w:t xml:space="preserve">Gli appelli si svolgono nell’arco del calendario didattico dell’offerta formativa nello stesso </w:t>
            </w:r>
            <w:r w:rsidRPr="3F67E0A7" w:rsidR="1429F21C">
              <w:rPr>
                <w:rFonts w:asciiTheme="minorHAnsi" w:hAnsiTheme="minorHAnsi" w:eastAsiaTheme="minorEastAsia" w:cstheme="minorBidi"/>
              </w:rPr>
              <w:t>numero delle prove d’esame del c</w:t>
            </w:r>
            <w:r w:rsidRPr="3F67E0A7">
              <w:rPr>
                <w:rFonts w:asciiTheme="minorHAnsi" w:hAnsiTheme="minorHAnsi" w:eastAsiaTheme="minorEastAsia" w:cstheme="minorBidi"/>
              </w:rPr>
              <w:t>luster.</w:t>
            </w:r>
          </w:p>
          <w:p w:rsidR="00BA3CDF" w:rsidP="3F67E0A7" w:rsidRDefault="00BA3CDF" w14:paraId="4C7079A5" w14:textId="77777777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</w:rPr>
            </w:pPr>
          </w:p>
          <w:p w:rsidR="00BA3CDF" w:rsidP="0A525FF1" w:rsidRDefault="00BA3CDF" w14:paraId="31419569" w14:textId="0DDA41B3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  <w:r w:rsidRPr="0A525FF1" w:rsidR="6153B605"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  <w:t>Classificazioni ESCO</w:t>
            </w:r>
          </w:p>
          <w:p w:rsidR="0A525FF1" w:rsidP="0A525FF1" w:rsidRDefault="0A525FF1" w14:paraId="6ED51C15" w14:textId="17D5D357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A525FF1" w:rsidP="0A525FF1" w:rsidRDefault="0A525FF1" w14:paraId="660F1674" w14:textId="1CEDB875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A525FF1" w:rsidP="0A525FF1" w:rsidRDefault="0A525FF1" w14:paraId="6F92C33B" w14:textId="617959CE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A525FF1" w:rsidP="0A525FF1" w:rsidRDefault="0A525FF1" w14:paraId="08BA50CF" w14:textId="027DFDF9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A525FF1" w:rsidP="0A525FF1" w:rsidRDefault="0A525FF1" w14:paraId="2A683FA5" w14:textId="6B65AC3E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A525FF1" w:rsidP="0A525FF1" w:rsidRDefault="0A525FF1" w14:paraId="1FFB937A" w14:textId="452C7FFF">
            <w:pPr>
              <w:pStyle w:val="TableParagraph"/>
              <w:spacing w:before="75"/>
              <w:ind w:left="0" w:right="429"/>
              <w:jc w:val="both"/>
              <w:rPr>
                <w:rFonts w:ascii="Calibri" w:hAnsi="Calibri" w:eastAsia="ＭＳ 明朝" w:cs="Arial" w:asciiTheme="minorAscii" w:hAnsiTheme="minorAscii" w:eastAsiaTheme="minorEastAsia" w:cstheme="minorBidi"/>
                <w:highlight w:val="yellow"/>
              </w:rPr>
            </w:pPr>
          </w:p>
          <w:p w:rsidR="00BA3CDF" w:rsidP="3F67E0A7" w:rsidRDefault="00BA3CDF" w14:paraId="46AC5060" w14:textId="042EF27C">
            <w:pPr>
              <w:pStyle w:val="TableParagraph"/>
              <w:spacing w:before="75"/>
              <w:ind w:left="0" w:right="429"/>
              <w:jc w:val="both"/>
              <w:rPr>
                <w:rFonts w:asciiTheme="minorHAnsi" w:hAnsiTheme="minorHAnsi" w:eastAsiaTheme="minorEastAsia" w:cstheme="minorBidi"/>
                <w:i/>
                <w:iCs/>
              </w:rPr>
            </w:pPr>
          </w:p>
        </w:tc>
      </w:tr>
      <w:tr w:rsidR="00873866" w:rsidTr="28AA2412" w14:paraId="0CCCF73C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63895790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Testi</w:t>
            </w:r>
            <w:r w:rsidRPr="0F2561BC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Materiali</w:t>
            </w:r>
            <w:r w:rsidRPr="0F2561BC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Didattici</w:t>
            </w:r>
            <w:r w:rsidRPr="0F2561BC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di</w:t>
            </w:r>
            <w:r w:rsidRPr="0F2561BC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riferimento</w:t>
            </w:r>
          </w:p>
        </w:tc>
        <w:tc>
          <w:tcPr>
            <w:tcW w:w="9313" w:type="dxa"/>
            <w:tcMar/>
          </w:tcPr>
          <w:p w:rsidRPr="006F138F" w:rsidR="00873866" w:rsidP="7669CDB5" w:rsidRDefault="68DA24A2" w14:paraId="26F1295F" w14:textId="0A59C3F1">
            <w:pPr>
              <w:pStyle w:val="TableParagraph"/>
              <w:ind w:left="0"/>
              <w:rPr>
                <w:noProof w:val="0"/>
                <w:lang w:val="it-IT"/>
              </w:rPr>
            </w:pPr>
            <w:r w:rsidRPr="7669CDB5" w:rsidR="3361513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7669CDB5" w:rsidR="06A11D7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it-IT"/>
              </w:rPr>
              <w:t>Indicare i testi didattici di riferimento adottati</w:t>
            </w:r>
          </w:p>
        </w:tc>
      </w:tr>
    </w:tbl>
    <w:p w:rsidR="35A13211" w:rsidP="3F67E0A7" w:rsidRDefault="35A13211" w14:paraId="4F91E754" w14:textId="35C1B41A">
      <w:pPr>
        <w:rPr>
          <w:highlight w:val="red"/>
        </w:rPr>
      </w:pPr>
    </w:p>
    <w:sectPr w:rsidR="35A13211">
      <w:type w:val="continuous"/>
      <w:pgSz w:w="15370" w:h="20480" w:orient="portrait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914F"/>
    <w:multiLevelType w:val="hybridMultilevel"/>
    <w:tmpl w:val="A16895BA"/>
    <w:lvl w:ilvl="0" w:tplc="A2B216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7CFD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08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D0C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88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20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C20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07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2B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hint="default" w:ascii="Helvetica Neue" w:hAnsi="Helvetica Neue" w:eastAsia="Helvetica Neue" w:cs="Helvetica Neue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abstractNum w:abstractNumId="2" w15:restartNumberingAfterBreak="0">
    <w:nsid w:val="7FEB3F31"/>
    <w:multiLevelType w:val="hybridMultilevel"/>
    <w:tmpl w:val="15224186"/>
    <w:lvl w:ilvl="0" w:tplc="04090001">
      <w:start w:val="1"/>
      <w:numFmt w:val="bullet"/>
      <w:lvlText w:val=""/>
      <w:lvlJc w:val="left"/>
      <w:pPr>
        <w:ind w:left="80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hint="default" w:ascii="Wingdings" w:hAnsi="Wingdings"/>
      </w:rPr>
    </w:lvl>
  </w:abstractNum>
  <w:num w:numId="1" w16cid:durableId="1633055880">
    <w:abstractNumId w:val="0"/>
  </w:num>
  <w:num w:numId="2" w16cid:durableId="1585919702">
    <w:abstractNumId w:val="1"/>
  </w:num>
  <w:num w:numId="3" w16cid:durableId="11121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66"/>
    <w:rsid w:val="00027BCB"/>
    <w:rsid w:val="00292CA5"/>
    <w:rsid w:val="00302F9B"/>
    <w:rsid w:val="004112CE"/>
    <w:rsid w:val="00431C8B"/>
    <w:rsid w:val="004800C0"/>
    <w:rsid w:val="00482A05"/>
    <w:rsid w:val="004C3768"/>
    <w:rsid w:val="004C558A"/>
    <w:rsid w:val="004E2D30"/>
    <w:rsid w:val="005525A5"/>
    <w:rsid w:val="0056170F"/>
    <w:rsid w:val="005E197C"/>
    <w:rsid w:val="0061596E"/>
    <w:rsid w:val="00634348"/>
    <w:rsid w:val="006F138F"/>
    <w:rsid w:val="0078165C"/>
    <w:rsid w:val="00830E94"/>
    <w:rsid w:val="00873866"/>
    <w:rsid w:val="00893B98"/>
    <w:rsid w:val="009679D2"/>
    <w:rsid w:val="00A569EC"/>
    <w:rsid w:val="00A74A1E"/>
    <w:rsid w:val="00AA1DA3"/>
    <w:rsid w:val="00B5095F"/>
    <w:rsid w:val="00B566C9"/>
    <w:rsid w:val="00B862DF"/>
    <w:rsid w:val="00BA3CDF"/>
    <w:rsid w:val="00C73673"/>
    <w:rsid w:val="00CB2660"/>
    <w:rsid w:val="00D371CC"/>
    <w:rsid w:val="00D958AF"/>
    <w:rsid w:val="00D96A03"/>
    <w:rsid w:val="00E445CB"/>
    <w:rsid w:val="00E84ACB"/>
    <w:rsid w:val="00E94ABF"/>
    <w:rsid w:val="00EA3A66"/>
    <w:rsid w:val="00EF3CDC"/>
    <w:rsid w:val="00F62EC7"/>
    <w:rsid w:val="04CA303A"/>
    <w:rsid w:val="0526FF22"/>
    <w:rsid w:val="062FE71C"/>
    <w:rsid w:val="06A11D74"/>
    <w:rsid w:val="06B05502"/>
    <w:rsid w:val="06DD64A7"/>
    <w:rsid w:val="07496DF9"/>
    <w:rsid w:val="079FF485"/>
    <w:rsid w:val="0925B912"/>
    <w:rsid w:val="0A525FF1"/>
    <w:rsid w:val="0AB30679"/>
    <w:rsid w:val="0D382E33"/>
    <w:rsid w:val="0F2561BC"/>
    <w:rsid w:val="10849404"/>
    <w:rsid w:val="1418CAD4"/>
    <w:rsid w:val="1429F21C"/>
    <w:rsid w:val="15E16DB2"/>
    <w:rsid w:val="162ED4E9"/>
    <w:rsid w:val="181C99EC"/>
    <w:rsid w:val="1A198253"/>
    <w:rsid w:val="1A787750"/>
    <w:rsid w:val="1A922A99"/>
    <w:rsid w:val="1ADFE460"/>
    <w:rsid w:val="1B129DCE"/>
    <w:rsid w:val="1EE8A797"/>
    <w:rsid w:val="207B7D3E"/>
    <w:rsid w:val="23B9713A"/>
    <w:rsid w:val="23D831B1"/>
    <w:rsid w:val="2462E687"/>
    <w:rsid w:val="28AA2412"/>
    <w:rsid w:val="2B0773FE"/>
    <w:rsid w:val="2DA9AADE"/>
    <w:rsid w:val="2DB7073D"/>
    <w:rsid w:val="2DF7E0FD"/>
    <w:rsid w:val="3308DDE3"/>
    <w:rsid w:val="3361513C"/>
    <w:rsid w:val="337E898C"/>
    <w:rsid w:val="33E80F21"/>
    <w:rsid w:val="341A1888"/>
    <w:rsid w:val="341DF37A"/>
    <w:rsid w:val="35A13211"/>
    <w:rsid w:val="3B213712"/>
    <w:rsid w:val="3C62847C"/>
    <w:rsid w:val="3E0A6203"/>
    <w:rsid w:val="3E1ED156"/>
    <w:rsid w:val="3F67E0A7"/>
    <w:rsid w:val="40B41F66"/>
    <w:rsid w:val="48BF0CD8"/>
    <w:rsid w:val="4BE523F5"/>
    <w:rsid w:val="4C7A67DF"/>
    <w:rsid w:val="4CE3CB63"/>
    <w:rsid w:val="4DAE5EBA"/>
    <w:rsid w:val="5124FA53"/>
    <w:rsid w:val="537DACD4"/>
    <w:rsid w:val="56F3418B"/>
    <w:rsid w:val="5B7559A9"/>
    <w:rsid w:val="5BB51D64"/>
    <w:rsid w:val="5C21F2E8"/>
    <w:rsid w:val="5E60AC25"/>
    <w:rsid w:val="5F28F239"/>
    <w:rsid w:val="60293A2E"/>
    <w:rsid w:val="6153B605"/>
    <w:rsid w:val="6217E1C7"/>
    <w:rsid w:val="65C59C39"/>
    <w:rsid w:val="66024872"/>
    <w:rsid w:val="660EAE37"/>
    <w:rsid w:val="6733982E"/>
    <w:rsid w:val="68DA24A2"/>
    <w:rsid w:val="6BD26326"/>
    <w:rsid w:val="6C38480A"/>
    <w:rsid w:val="6EB991FB"/>
    <w:rsid w:val="7669CDB5"/>
    <w:rsid w:val="7811A9CB"/>
    <w:rsid w:val="7838B139"/>
    <w:rsid w:val="7BE0DF4B"/>
    <w:rsid w:val="7C78920E"/>
    <w:rsid w:val="7DF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D6B8A"/>
  <w15:docId w15:val="{D74AFF08-EAD0-AF4C-9532-76D0B2F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rFonts w:ascii="Helvetica Neue" w:hAnsi="Helvetica Neue" w:eastAsia="Helvetica Neue" w:cs="Helvetica Neue"/>
      <w:lang w:val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rFonts w:ascii="Futura Bold" w:hAnsi="Futura Bold" w:eastAsia="Futura Bold" w:cs="Futura Bold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Helvetica Neue" w:hAnsi="Helvetica Neue" w:eastAsia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5CB"/>
    <w:rPr>
      <w:rFonts w:ascii="Times New Roman" w:hAnsi="Times New Roman" w:cs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E445CB"/>
    <w:rPr>
      <w:rFonts w:ascii="Times New Roman" w:hAnsi="Times New Roman" w:eastAsia="Helvetica Neue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EDUNEXT - LINEE GUIDA PROGETTAZIONE CORSI DI LAUREA - Ver1.0.1</dc:title>
  <lastModifiedBy>Claudia LEDDA</lastModifiedBy>
  <revision>14</revision>
  <dcterms:created xsi:type="dcterms:W3CDTF">2025-07-29T12:25:00.0000000Z</dcterms:created>
  <dcterms:modified xsi:type="dcterms:W3CDTF">2026-04-13T16:16:36.1654661Z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